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0095A" w14:textId="77777777" w:rsidR="00081A1F" w:rsidRPr="00BB374C" w:rsidRDefault="00081A1F" w:rsidP="00C92AF8">
      <w:pPr>
        <w:jc w:val="center"/>
        <w:rPr>
          <w:rFonts w:ascii="Times New Roman" w:hAnsi="Times New Roman" w:cs="Times New Roman"/>
          <w:b/>
          <w:sz w:val="24"/>
          <w:szCs w:val="24"/>
        </w:rPr>
      </w:pPr>
      <w:r w:rsidRPr="00BB374C">
        <w:rPr>
          <w:rFonts w:ascii="Times New Roman" w:hAnsi="Times New Roman" w:cs="Times New Roman"/>
          <w:b/>
          <w:sz w:val="24"/>
          <w:szCs w:val="24"/>
        </w:rPr>
        <w:t>Sophia Tidler</w:t>
      </w:r>
    </w:p>
    <w:p w14:paraId="2B33B092" w14:textId="77777777" w:rsidR="00C92AF8" w:rsidRPr="00BB374C" w:rsidRDefault="00C92AF8" w:rsidP="00C92AF8">
      <w:pPr>
        <w:jc w:val="center"/>
        <w:rPr>
          <w:rFonts w:ascii="Times New Roman" w:hAnsi="Times New Roman" w:cs="Times New Roman"/>
          <w:b/>
          <w:color w:val="000000"/>
          <w:sz w:val="24"/>
          <w:szCs w:val="24"/>
        </w:rPr>
      </w:pPr>
      <w:r w:rsidRPr="00BB374C">
        <w:rPr>
          <w:rFonts w:ascii="Times New Roman" w:hAnsi="Times New Roman" w:cs="Times New Roman"/>
          <w:b/>
          <w:color w:val="000000"/>
          <w:sz w:val="24"/>
          <w:szCs w:val="24"/>
        </w:rPr>
        <w:t xml:space="preserve">National Historic Preservation Act </w:t>
      </w:r>
    </w:p>
    <w:p w14:paraId="725385E1" w14:textId="606559D2" w:rsidR="00076A3C" w:rsidRPr="00BB374C" w:rsidRDefault="00081A1F" w:rsidP="00C92AF8">
      <w:pPr>
        <w:jc w:val="center"/>
        <w:rPr>
          <w:rFonts w:ascii="Times New Roman" w:hAnsi="Times New Roman" w:cs="Times New Roman"/>
          <w:b/>
          <w:color w:val="000000"/>
          <w:sz w:val="24"/>
          <w:szCs w:val="24"/>
        </w:rPr>
      </w:pPr>
      <w:r w:rsidRPr="00BB374C">
        <w:rPr>
          <w:rFonts w:ascii="Times New Roman" w:hAnsi="Times New Roman" w:cs="Times New Roman"/>
          <w:b/>
          <w:color w:val="000000"/>
          <w:sz w:val="24"/>
          <w:szCs w:val="24"/>
        </w:rPr>
        <w:t xml:space="preserve">Section 106 Review </w:t>
      </w:r>
    </w:p>
    <w:p w14:paraId="738D2773" w14:textId="3929ADAB" w:rsidR="0083630F" w:rsidRPr="00BB374C" w:rsidRDefault="0083630F" w:rsidP="00C92AF8">
      <w:pPr>
        <w:spacing w:after="0"/>
        <w:contextualSpacing/>
        <w:rPr>
          <w:rFonts w:ascii="Times New Roman" w:hAnsi="Times New Roman" w:cs="Times New Roman"/>
          <w:sz w:val="24"/>
          <w:szCs w:val="24"/>
        </w:rPr>
      </w:pPr>
      <w:r w:rsidRPr="00BB374C">
        <w:rPr>
          <w:rFonts w:ascii="Times New Roman" w:hAnsi="Times New Roman" w:cs="Times New Roman"/>
          <w:b/>
          <w:sz w:val="24"/>
          <w:szCs w:val="24"/>
          <w:u w:val="single"/>
        </w:rPr>
        <w:t>SUMMARY:</w:t>
      </w:r>
      <w:r w:rsidRPr="00BB374C">
        <w:rPr>
          <w:rFonts w:ascii="Times New Roman" w:hAnsi="Times New Roman" w:cs="Times New Roman"/>
          <w:sz w:val="24"/>
          <w:szCs w:val="24"/>
        </w:rPr>
        <w:t xml:space="preserve">  </w:t>
      </w:r>
    </w:p>
    <w:p w14:paraId="58674BE6" w14:textId="07BB0C89" w:rsidR="0083630F" w:rsidRPr="00BB374C" w:rsidRDefault="0083630F"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Requires Federal and State agencies to take into account potential impacts from a project on historic properties.</w:t>
      </w:r>
    </w:p>
    <w:p w14:paraId="4692B33B" w14:textId="77777777" w:rsidR="0083630F" w:rsidRPr="00BB374C" w:rsidRDefault="0083630F" w:rsidP="00C92AF8">
      <w:pPr>
        <w:spacing w:after="0"/>
        <w:contextualSpacing/>
        <w:rPr>
          <w:rFonts w:ascii="Times New Roman" w:hAnsi="Times New Roman" w:cs="Times New Roman"/>
          <w:sz w:val="24"/>
          <w:szCs w:val="24"/>
        </w:rPr>
      </w:pPr>
    </w:p>
    <w:p w14:paraId="0E07461E" w14:textId="035DF528" w:rsidR="004559E4"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By law, the nation’s people have a voice when a project involving federal action, approval, or funding may affect properties that qualify for the National Register of Historic Places, the nation’s official list of historic properties. Section 106 of the National Historic Preservation Act of 1966 (NHPA) requires consideration of historic preservation in the multitude federally involved projects across the nation</w:t>
      </w:r>
      <w:r w:rsidR="001E6491" w:rsidRPr="00BB374C">
        <w:rPr>
          <w:rFonts w:ascii="Times New Roman" w:hAnsi="Times New Roman" w:cs="Times New Roman"/>
          <w:sz w:val="24"/>
          <w:szCs w:val="24"/>
        </w:rPr>
        <w:t>.</w:t>
      </w:r>
    </w:p>
    <w:p w14:paraId="4819A28C" w14:textId="77777777" w:rsidR="004559E4" w:rsidRPr="00BB374C" w:rsidRDefault="004559E4" w:rsidP="00C92AF8">
      <w:pPr>
        <w:spacing w:after="0"/>
        <w:contextualSpacing/>
        <w:rPr>
          <w:rFonts w:ascii="Times New Roman" w:hAnsi="Times New Roman" w:cs="Times New Roman"/>
          <w:sz w:val="24"/>
          <w:szCs w:val="24"/>
        </w:rPr>
      </w:pPr>
    </w:p>
    <w:p w14:paraId="1A7DB0CD" w14:textId="0EF83B96" w:rsidR="004559E4" w:rsidRPr="00BB374C" w:rsidRDefault="0083630F" w:rsidP="00C92AF8">
      <w:pPr>
        <w:spacing w:after="0"/>
        <w:contextualSpacing/>
        <w:rPr>
          <w:rFonts w:ascii="Times New Roman" w:hAnsi="Times New Roman" w:cs="Times New Roman"/>
          <w:sz w:val="24"/>
          <w:szCs w:val="24"/>
        </w:rPr>
      </w:pPr>
      <w:r w:rsidRPr="00BB374C">
        <w:rPr>
          <w:rFonts w:ascii="Times New Roman" w:hAnsi="Times New Roman" w:cs="Times New Roman"/>
          <w:b/>
          <w:sz w:val="24"/>
          <w:szCs w:val="24"/>
          <w:u w:val="single"/>
        </w:rPr>
        <w:t>PERMIT NAME:</w:t>
      </w:r>
    </w:p>
    <w:p w14:paraId="62F45714" w14:textId="513E9D5F" w:rsidR="00076A3C"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 xml:space="preserve">Section 106 Review </w:t>
      </w:r>
    </w:p>
    <w:p w14:paraId="52BD735B" w14:textId="77777777" w:rsidR="004559E4" w:rsidRPr="00BB374C" w:rsidRDefault="004559E4" w:rsidP="00C92AF8">
      <w:pPr>
        <w:spacing w:after="0"/>
        <w:contextualSpacing/>
        <w:rPr>
          <w:rFonts w:ascii="Times New Roman" w:hAnsi="Times New Roman" w:cs="Times New Roman"/>
          <w:sz w:val="24"/>
          <w:szCs w:val="24"/>
        </w:rPr>
      </w:pPr>
    </w:p>
    <w:p w14:paraId="48FF42C6" w14:textId="6412A163" w:rsidR="00076A3C" w:rsidRPr="00BB374C" w:rsidRDefault="00076A3C" w:rsidP="00C92AF8">
      <w:pPr>
        <w:spacing w:after="0"/>
        <w:contextualSpacing/>
        <w:rPr>
          <w:rFonts w:ascii="Times New Roman" w:hAnsi="Times New Roman" w:cs="Times New Roman"/>
          <w:b/>
          <w:sz w:val="24"/>
          <w:szCs w:val="24"/>
          <w:u w:val="single"/>
        </w:rPr>
      </w:pPr>
      <w:bookmarkStart w:id="0" w:name="h.4d2re5q2wdoj" w:colFirst="0" w:colLast="0"/>
      <w:bookmarkEnd w:id="0"/>
      <w:r w:rsidRPr="00BB374C">
        <w:rPr>
          <w:rFonts w:ascii="Times New Roman" w:hAnsi="Times New Roman" w:cs="Times New Roman"/>
          <w:b/>
          <w:sz w:val="24"/>
          <w:szCs w:val="24"/>
          <w:u w:val="single"/>
        </w:rPr>
        <w:t>APPLICABILITY</w:t>
      </w:r>
      <w:r w:rsidR="0083630F" w:rsidRPr="00BB374C">
        <w:rPr>
          <w:rFonts w:ascii="Times New Roman" w:hAnsi="Times New Roman" w:cs="Times New Roman"/>
          <w:b/>
          <w:sz w:val="24"/>
          <w:szCs w:val="24"/>
          <w:u w:val="single"/>
        </w:rPr>
        <w:t>:</w:t>
      </w:r>
    </w:p>
    <w:p w14:paraId="03B1822C" w14:textId="77777777" w:rsidR="00076A3C"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If properties in the area that may be affected by the project are listed, or are eligible for listing in the National Register of Historic Places. Section 106 applies only if a federal agency is carrying out the project, approving it, or funding it.</w:t>
      </w:r>
    </w:p>
    <w:p w14:paraId="4BDB7619" w14:textId="77777777" w:rsidR="004559E4" w:rsidRPr="00BB374C" w:rsidRDefault="004559E4" w:rsidP="00C92AF8">
      <w:pPr>
        <w:spacing w:after="0"/>
        <w:contextualSpacing/>
        <w:rPr>
          <w:rFonts w:ascii="Times New Roman" w:hAnsi="Times New Roman" w:cs="Times New Roman"/>
          <w:sz w:val="24"/>
          <w:szCs w:val="24"/>
        </w:rPr>
      </w:pPr>
    </w:p>
    <w:p w14:paraId="3D4E8C0D" w14:textId="4DDEA577" w:rsidR="00076A3C" w:rsidRPr="00BB374C" w:rsidRDefault="007B2026" w:rsidP="00C92AF8">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PROCESSING</w:t>
      </w:r>
      <w:r w:rsidR="0083630F" w:rsidRPr="00BB374C">
        <w:rPr>
          <w:rFonts w:ascii="Times New Roman" w:hAnsi="Times New Roman" w:cs="Times New Roman"/>
          <w:b/>
          <w:sz w:val="24"/>
          <w:szCs w:val="24"/>
          <w:u w:val="single"/>
        </w:rPr>
        <w:t>:</w:t>
      </w:r>
    </w:p>
    <w:p w14:paraId="7E2E2AFA" w14:textId="717EB413" w:rsidR="0083630F" w:rsidRDefault="0083630F" w:rsidP="007B2026">
      <w:pPr>
        <w:autoSpaceDE w:val="0"/>
        <w:autoSpaceDN w:val="0"/>
        <w:adjustRightInd w:val="0"/>
        <w:spacing w:after="0" w:line="240" w:lineRule="auto"/>
        <w:rPr>
          <w:rFonts w:ascii="Times New Roman" w:hAnsi="Times New Roman" w:cs="Times New Roman"/>
          <w:sz w:val="24"/>
          <w:szCs w:val="24"/>
        </w:rPr>
      </w:pPr>
      <w:r w:rsidRPr="00BB374C">
        <w:rPr>
          <w:rFonts w:ascii="Times New Roman" w:hAnsi="Times New Roman" w:cs="Times New Roman"/>
          <w:sz w:val="24"/>
          <w:szCs w:val="24"/>
        </w:rPr>
        <w:t>A 30 day calendar review period is provided for within the permit application, post receipt of all</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necessary information. If additional information is requested, the 30-day review period will reset upon</w:t>
      </w:r>
      <w:r w:rsidR="007B2026">
        <w:rPr>
          <w:rFonts w:ascii="Times New Roman" w:hAnsi="Times New Roman" w:cs="Times New Roman"/>
          <w:sz w:val="24"/>
          <w:szCs w:val="24"/>
        </w:rPr>
        <w:t xml:space="preserve"> </w:t>
      </w:r>
      <w:r w:rsidRPr="00BB374C">
        <w:rPr>
          <w:rFonts w:ascii="Times New Roman" w:hAnsi="Times New Roman" w:cs="Times New Roman"/>
          <w:sz w:val="24"/>
          <w:szCs w:val="24"/>
        </w:rPr>
        <w:t>receipt of the new information.</w:t>
      </w:r>
    </w:p>
    <w:p w14:paraId="24CF21AF" w14:textId="394BF5E4" w:rsidR="007B2026" w:rsidRDefault="007B2026" w:rsidP="007B2026">
      <w:pPr>
        <w:autoSpaceDE w:val="0"/>
        <w:autoSpaceDN w:val="0"/>
        <w:adjustRightInd w:val="0"/>
        <w:spacing w:after="0" w:line="240" w:lineRule="auto"/>
        <w:rPr>
          <w:rFonts w:ascii="Times New Roman" w:hAnsi="Times New Roman" w:cs="Times New Roman"/>
          <w:sz w:val="24"/>
          <w:szCs w:val="24"/>
        </w:rPr>
      </w:pPr>
    </w:p>
    <w:p w14:paraId="3224F1F6" w14:textId="16BF8E41" w:rsidR="007B2026" w:rsidRDefault="007B2026" w:rsidP="007B20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Evaluation results in one of the following findings or measures:</w:t>
      </w:r>
    </w:p>
    <w:p w14:paraId="4DC1055D" w14:textId="55A03F3C" w:rsidR="007B2026" w:rsidRPr="007B2026" w:rsidRDefault="007B2026" w:rsidP="007B2026">
      <w:pPr>
        <w:pStyle w:val="ListParagraph"/>
        <w:numPr>
          <w:ilvl w:val="0"/>
          <w:numId w:val="22"/>
        </w:numPr>
        <w:autoSpaceDE w:val="0"/>
        <w:autoSpaceDN w:val="0"/>
        <w:adjustRightInd w:val="0"/>
      </w:pPr>
      <w:r w:rsidRPr="007B2026">
        <w:t>“no historic properties affected</w:t>
      </w:r>
    </w:p>
    <w:p w14:paraId="7FA6CC3E" w14:textId="713E8BD8" w:rsidR="007B2026" w:rsidRPr="007B2026" w:rsidRDefault="007B2026" w:rsidP="007B2026">
      <w:pPr>
        <w:pStyle w:val="ListParagraph"/>
        <w:numPr>
          <w:ilvl w:val="0"/>
          <w:numId w:val="22"/>
        </w:numPr>
        <w:autoSpaceDE w:val="0"/>
        <w:autoSpaceDN w:val="0"/>
        <w:adjustRightInd w:val="0"/>
      </w:pPr>
      <w:r w:rsidRPr="007B2026">
        <w:t>No adverse effect to historic properties</w:t>
      </w:r>
    </w:p>
    <w:p w14:paraId="0ACF3FBD" w14:textId="008F7569" w:rsidR="007B2026" w:rsidRPr="007B2026" w:rsidRDefault="007B2026" w:rsidP="007B2026">
      <w:pPr>
        <w:pStyle w:val="ListParagraph"/>
        <w:numPr>
          <w:ilvl w:val="0"/>
          <w:numId w:val="22"/>
        </w:numPr>
        <w:autoSpaceDE w:val="0"/>
        <w:autoSpaceDN w:val="0"/>
        <w:adjustRightInd w:val="0"/>
      </w:pPr>
      <w:r w:rsidRPr="007B2026">
        <w:t>Adverse effect to historic properties that requires an memorandum of agreement (MOA) to be in place prior to beginning construction</w:t>
      </w:r>
    </w:p>
    <w:p w14:paraId="1983B467" w14:textId="2510BA74" w:rsidR="007B2026" w:rsidRPr="007B2026" w:rsidRDefault="007B2026" w:rsidP="007B2026">
      <w:pPr>
        <w:pStyle w:val="ListParagraph"/>
        <w:numPr>
          <w:ilvl w:val="0"/>
          <w:numId w:val="22"/>
        </w:numPr>
        <w:autoSpaceDE w:val="0"/>
        <w:autoSpaceDN w:val="0"/>
        <w:adjustRightInd w:val="0"/>
        <w:rPr>
          <w:b/>
          <w:u w:val="single"/>
        </w:rPr>
      </w:pPr>
      <w:r w:rsidRPr="007B2026">
        <w:t>Mitigate measures such as monitoring are stipulations</w:t>
      </w:r>
      <w:r>
        <w:t xml:space="preserve"> of MOAs</w:t>
      </w:r>
      <w:bookmarkStart w:id="1" w:name="_GoBack"/>
      <w:bookmarkEnd w:id="1"/>
      <w:r w:rsidRPr="007B2026">
        <w:t xml:space="preserve">. </w:t>
      </w:r>
    </w:p>
    <w:p w14:paraId="182A8869" w14:textId="77777777" w:rsidR="0083630F" w:rsidRPr="00BB374C" w:rsidRDefault="0083630F" w:rsidP="00C92AF8">
      <w:pPr>
        <w:spacing w:after="0"/>
        <w:contextualSpacing/>
        <w:rPr>
          <w:rFonts w:ascii="Times New Roman" w:hAnsi="Times New Roman" w:cs="Times New Roman"/>
          <w:b/>
          <w:sz w:val="24"/>
          <w:szCs w:val="24"/>
          <w:u w:val="single"/>
        </w:rPr>
      </w:pPr>
    </w:p>
    <w:p w14:paraId="095FA8F1" w14:textId="249DE9F4" w:rsidR="004559E4" w:rsidRPr="00BB374C" w:rsidRDefault="0083630F" w:rsidP="00C92AF8">
      <w:pPr>
        <w:spacing w:after="0"/>
        <w:contextualSpacing/>
        <w:rPr>
          <w:rFonts w:ascii="Times New Roman" w:hAnsi="Times New Roman" w:cs="Times New Roman"/>
          <w:b/>
          <w:sz w:val="24"/>
          <w:szCs w:val="24"/>
          <w:u w:val="single"/>
        </w:rPr>
      </w:pPr>
      <w:r w:rsidRPr="00BB374C">
        <w:rPr>
          <w:rFonts w:ascii="Times New Roman" w:hAnsi="Times New Roman" w:cs="Times New Roman"/>
          <w:b/>
          <w:sz w:val="24"/>
          <w:szCs w:val="24"/>
          <w:u w:val="single"/>
        </w:rPr>
        <w:t>AGENCY COORDINATION:</w:t>
      </w:r>
    </w:p>
    <w:p w14:paraId="0C324765" w14:textId="7D056ECA" w:rsidR="00BC3EDB"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bCs/>
          <w:sz w:val="24"/>
          <w:szCs w:val="24"/>
        </w:rPr>
        <w:t xml:space="preserve">Alaska Department of Natural Resources </w:t>
      </w:r>
      <w:r w:rsidR="001E6491" w:rsidRPr="00BB374C">
        <w:rPr>
          <w:rFonts w:ascii="Times New Roman" w:hAnsi="Times New Roman" w:cs="Times New Roman"/>
          <w:bCs/>
          <w:sz w:val="24"/>
          <w:szCs w:val="24"/>
        </w:rPr>
        <w:t xml:space="preserve">(DNR) </w:t>
      </w:r>
      <w:r w:rsidRPr="00BB374C">
        <w:rPr>
          <w:rFonts w:ascii="Times New Roman" w:hAnsi="Times New Roman" w:cs="Times New Roman"/>
          <w:bCs/>
          <w:sz w:val="24"/>
          <w:szCs w:val="24"/>
        </w:rPr>
        <w:t xml:space="preserve">Office of History and Archeology (OHA) </w:t>
      </w:r>
      <w:r w:rsidR="001E6491" w:rsidRPr="00BB374C">
        <w:rPr>
          <w:rFonts w:ascii="Times New Roman" w:hAnsi="Times New Roman" w:cs="Times New Roman"/>
          <w:sz w:val="24"/>
          <w:szCs w:val="24"/>
        </w:rPr>
        <w:t xml:space="preserve">and State </w:t>
      </w:r>
      <w:r w:rsidRPr="00BB374C">
        <w:rPr>
          <w:rFonts w:ascii="Times New Roman" w:hAnsi="Times New Roman" w:cs="Times New Roman"/>
          <w:sz w:val="24"/>
          <w:szCs w:val="24"/>
        </w:rPr>
        <w:t>Histori</w:t>
      </w:r>
      <w:r w:rsidR="001E6491" w:rsidRPr="00BB374C">
        <w:rPr>
          <w:rFonts w:ascii="Times New Roman" w:hAnsi="Times New Roman" w:cs="Times New Roman"/>
          <w:sz w:val="24"/>
          <w:szCs w:val="24"/>
        </w:rPr>
        <w:t xml:space="preserve">c </w:t>
      </w:r>
      <w:r w:rsidRPr="00BB374C">
        <w:rPr>
          <w:rFonts w:ascii="Times New Roman" w:hAnsi="Times New Roman" w:cs="Times New Roman"/>
          <w:sz w:val="24"/>
          <w:szCs w:val="24"/>
        </w:rPr>
        <w:t>Preservation Officer (SHPO)</w:t>
      </w:r>
      <w:r w:rsidR="00670982" w:rsidRPr="00BB374C">
        <w:rPr>
          <w:rFonts w:ascii="Times New Roman" w:hAnsi="Times New Roman" w:cs="Times New Roman"/>
          <w:sz w:val="24"/>
          <w:szCs w:val="24"/>
        </w:rPr>
        <w:t xml:space="preserve">. </w:t>
      </w:r>
    </w:p>
    <w:p w14:paraId="34640A34" w14:textId="77777777" w:rsidR="00670982"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ab/>
      </w:r>
    </w:p>
    <w:p w14:paraId="3F35E554" w14:textId="77777777" w:rsidR="00670982"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 xml:space="preserve">The </w:t>
      </w:r>
      <w:r w:rsidRPr="00BB374C">
        <w:rPr>
          <w:rFonts w:ascii="Times New Roman" w:hAnsi="Times New Roman" w:cs="Times New Roman"/>
          <w:sz w:val="24"/>
          <w:szCs w:val="24"/>
          <w:u w:val="single"/>
        </w:rPr>
        <w:t>Alaska Archeological Survey Unit</w:t>
      </w:r>
      <w:r w:rsidRPr="00BB374C">
        <w:rPr>
          <w:rFonts w:ascii="Times New Roman" w:hAnsi="Times New Roman" w:cs="Times New Roman"/>
          <w:sz w:val="24"/>
          <w:szCs w:val="24"/>
        </w:rPr>
        <w:t xml:space="preserve"> conducts cultural resource</w:t>
      </w:r>
      <w:r w:rsidR="00670982" w:rsidRPr="00BB374C">
        <w:rPr>
          <w:rFonts w:ascii="Times New Roman" w:hAnsi="Times New Roman" w:cs="Times New Roman"/>
          <w:sz w:val="24"/>
          <w:szCs w:val="24"/>
        </w:rPr>
        <w:t>s investigations in cooperation</w:t>
      </w:r>
    </w:p>
    <w:p w14:paraId="0A0F033F" w14:textId="77777777" w:rsidR="00670982"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with local, state, and federal agencies, universities, and mu</w:t>
      </w:r>
      <w:r w:rsidR="00670982" w:rsidRPr="00BB374C">
        <w:rPr>
          <w:rFonts w:ascii="Times New Roman" w:hAnsi="Times New Roman" w:cs="Times New Roman"/>
          <w:sz w:val="24"/>
          <w:szCs w:val="24"/>
        </w:rPr>
        <w:t>seums to comply with the Alaska</w:t>
      </w:r>
    </w:p>
    <w:p w14:paraId="569410D9" w14:textId="2170BCB5" w:rsidR="00076A3C" w:rsidRPr="00BB374C" w:rsidRDefault="004559E4" w:rsidP="00C92AF8">
      <w:pPr>
        <w:spacing w:after="0"/>
        <w:contextualSpacing/>
        <w:rPr>
          <w:rFonts w:ascii="Times New Roman" w:hAnsi="Times New Roman" w:cs="Times New Roman"/>
          <w:sz w:val="24"/>
          <w:szCs w:val="24"/>
        </w:rPr>
      </w:pPr>
      <w:r w:rsidRPr="00BB374C">
        <w:rPr>
          <w:rFonts w:ascii="Times New Roman" w:hAnsi="Times New Roman" w:cs="Times New Roman"/>
          <w:sz w:val="24"/>
          <w:szCs w:val="24"/>
        </w:rPr>
        <w:t>Historic Preservatio</w:t>
      </w:r>
      <w:r w:rsidR="00670982" w:rsidRPr="00BB374C">
        <w:rPr>
          <w:rFonts w:ascii="Times New Roman" w:hAnsi="Times New Roman" w:cs="Times New Roman"/>
          <w:sz w:val="24"/>
          <w:szCs w:val="24"/>
        </w:rPr>
        <w:t>n Act, the NHPA, and other laws.</w:t>
      </w:r>
    </w:p>
    <w:p w14:paraId="45EE8137" w14:textId="32BFDFF0" w:rsidR="001E6491" w:rsidRPr="00BB374C" w:rsidRDefault="001E6491" w:rsidP="00C92AF8">
      <w:pPr>
        <w:spacing w:after="0"/>
        <w:contextualSpacing/>
        <w:rPr>
          <w:rFonts w:ascii="Times New Roman" w:hAnsi="Times New Roman" w:cs="Times New Roman"/>
          <w:bCs/>
          <w:sz w:val="24"/>
          <w:szCs w:val="24"/>
        </w:rPr>
      </w:pPr>
    </w:p>
    <w:p w14:paraId="09573F16" w14:textId="426EEE6C" w:rsidR="00BC3EDB" w:rsidRPr="00BB374C" w:rsidRDefault="00C92AF8" w:rsidP="00C92AF8">
      <w:pPr>
        <w:spacing w:after="0"/>
        <w:contextualSpacing/>
        <w:rPr>
          <w:rFonts w:ascii="Times New Roman" w:hAnsi="Times New Roman" w:cs="Times New Roman"/>
          <w:b/>
          <w:sz w:val="24"/>
          <w:szCs w:val="24"/>
          <w:u w:val="single"/>
        </w:rPr>
      </w:pPr>
      <w:r w:rsidRPr="00BB374C">
        <w:rPr>
          <w:rFonts w:ascii="Times New Roman" w:hAnsi="Times New Roman" w:cs="Times New Roman"/>
          <w:b/>
          <w:sz w:val="24"/>
          <w:szCs w:val="24"/>
          <w:u w:val="single"/>
        </w:rPr>
        <w:t>COMPLEMENTARY ROLES OF OTHER PUBLIC AGENCIES:</w:t>
      </w:r>
    </w:p>
    <w:p w14:paraId="66D47879" w14:textId="319286AE" w:rsidR="00670982" w:rsidRPr="00BB374C" w:rsidRDefault="00670982" w:rsidP="00C92AF8">
      <w:pPr>
        <w:pStyle w:val="NormalWeb"/>
        <w:spacing w:before="0" w:beforeAutospacing="0" w:after="160" w:afterAutospacing="0"/>
      </w:pPr>
      <w:r w:rsidRPr="00BB374C">
        <w:rPr>
          <w:color w:val="000000"/>
        </w:rPr>
        <w:lastRenderedPageBreak/>
        <w:t xml:space="preserve">The </w:t>
      </w:r>
      <w:r w:rsidRPr="00BB374C">
        <w:rPr>
          <w:color w:val="000000"/>
        </w:rPr>
        <w:t xml:space="preserve">NHPA </w:t>
      </w:r>
      <w:r w:rsidRPr="00BB374C">
        <w:rPr>
          <w:color w:val="000000"/>
        </w:rPr>
        <w:t>Amendments of 1992 further clarified Section 110 and directed Federal agencies to establish preservation programs commensurate with their missions and the effects of their authorized p</w:t>
      </w:r>
      <w:r w:rsidR="00E8677F" w:rsidRPr="00BB374C">
        <w:rPr>
          <w:color w:val="000000"/>
        </w:rPr>
        <w:t>rograms on historic properties.</w:t>
      </w:r>
      <w:r w:rsidRPr="00BB374C">
        <w:rPr>
          <w:color w:val="000000"/>
        </w:rPr>
        <w:t xml:space="preserve">” </w:t>
      </w:r>
    </w:p>
    <w:p w14:paraId="6B550AED" w14:textId="00FAF37A" w:rsidR="00670982" w:rsidRPr="00BB374C" w:rsidRDefault="00670982" w:rsidP="00C92AF8">
      <w:pPr>
        <w:pStyle w:val="NormalWeb"/>
        <w:spacing w:before="0" w:beforeAutospacing="0" w:after="160" w:afterAutospacing="0"/>
      </w:pPr>
      <w:r w:rsidRPr="00BB374C">
        <w:rPr>
          <w:color w:val="000000"/>
        </w:rPr>
        <w:t>The 1992 amendments also included provisions for Indian tribes to assume the responsibilities of the SHPO on tribal lands, and establish the position of a Tribal Historic Preservation Officer (THPO).</w:t>
      </w:r>
    </w:p>
    <w:p w14:paraId="113671DF" w14:textId="7C5F7B73" w:rsidR="00670982" w:rsidRPr="00BB374C" w:rsidRDefault="00670982" w:rsidP="00C92AF8">
      <w:pPr>
        <w:spacing w:after="0"/>
        <w:contextualSpacing/>
        <w:rPr>
          <w:rFonts w:ascii="Times New Roman" w:hAnsi="Times New Roman" w:cs="Times New Roman"/>
          <w:color w:val="000000"/>
          <w:sz w:val="24"/>
          <w:szCs w:val="24"/>
        </w:rPr>
      </w:pPr>
      <w:r w:rsidRPr="00BB374C">
        <w:rPr>
          <w:rFonts w:ascii="Times New Roman" w:hAnsi="Times New Roman" w:cs="Times New Roman"/>
          <w:color w:val="000000"/>
          <w:sz w:val="24"/>
          <w:szCs w:val="24"/>
        </w:rPr>
        <w:t>Participants within Alaska</w:t>
      </w:r>
      <w:r w:rsidRPr="00BB374C">
        <w:rPr>
          <w:rFonts w:ascii="Times New Roman" w:hAnsi="Times New Roman" w:cs="Times New Roman"/>
          <w:b/>
          <w:color w:val="000000"/>
          <w:sz w:val="24"/>
          <w:szCs w:val="24"/>
        </w:rPr>
        <w:t xml:space="preserve"> </w:t>
      </w:r>
      <w:r w:rsidRPr="00BB374C">
        <w:rPr>
          <w:rFonts w:ascii="Times New Roman" w:hAnsi="Times New Roman" w:cs="Times New Roman"/>
          <w:b/>
          <w:bCs/>
          <w:color w:val="000000"/>
          <w:sz w:val="24"/>
          <w:szCs w:val="24"/>
        </w:rPr>
        <w:t>always</w:t>
      </w:r>
      <w:r w:rsidRPr="00BB374C">
        <w:rPr>
          <w:rFonts w:ascii="Times New Roman" w:hAnsi="Times New Roman" w:cs="Times New Roman"/>
          <w:b/>
          <w:color w:val="000000"/>
          <w:sz w:val="24"/>
          <w:szCs w:val="24"/>
        </w:rPr>
        <w:t xml:space="preserve"> </w:t>
      </w:r>
      <w:r w:rsidRPr="00BB374C">
        <w:rPr>
          <w:rFonts w:ascii="Times New Roman" w:hAnsi="Times New Roman" w:cs="Times New Roman"/>
          <w:color w:val="000000"/>
          <w:sz w:val="24"/>
          <w:szCs w:val="24"/>
        </w:rPr>
        <w:t>include th</w:t>
      </w:r>
      <w:r w:rsidRPr="00BB374C">
        <w:rPr>
          <w:rFonts w:ascii="Times New Roman" w:hAnsi="Times New Roman" w:cs="Times New Roman"/>
          <w:color w:val="000000"/>
          <w:sz w:val="24"/>
          <w:szCs w:val="24"/>
        </w:rPr>
        <w:t>e lead agency official, the SHPO, representatives of local</w:t>
      </w:r>
      <w:r w:rsidR="00C92AF8" w:rsidRPr="00BB374C">
        <w:rPr>
          <w:rFonts w:ascii="Times New Roman" w:hAnsi="Times New Roman" w:cs="Times New Roman"/>
          <w:color w:val="000000"/>
          <w:sz w:val="24"/>
          <w:szCs w:val="24"/>
        </w:rPr>
        <w:t xml:space="preserve"> governments, </w:t>
      </w:r>
      <w:r w:rsidRPr="00BB374C">
        <w:rPr>
          <w:rFonts w:ascii="Times New Roman" w:hAnsi="Times New Roman" w:cs="Times New Roman"/>
          <w:color w:val="000000"/>
          <w:sz w:val="24"/>
          <w:szCs w:val="24"/>
        </w:rPr>
        <w:t xml:space="preserve">the applicant/project proponent and the </w:t>
      </w:r>
      <w:r w:rsidR="00E8677F" w:rsidRPr="00BB374C">
        <w:rPr>
          <w:rFonts w:ascii="Times New Roman" w:hAnsi="Times New Roman" w:cs="Times New Roman"/>
          <w:color w:val="000000"/>
          <w:sz w:val="24"/>
          <w:szCs w:val="24"/>
        </w:rPr>
        <w:t>THPO</w:t>
      </w:r>
      <w:r w:rsidRPr="00BB374C">
        <w:rPr>
          <w:rFonts w:ascii="Times New Roman" w:hAnsi="Times New Roman" w:cs="Times New Roman"/>
          <w:color w:val="000000"/>
          <w:sz w:val="24"/>
          <w:szCs w:val="24"/>
        </w:rPr>
        <w:t xml:space="preserve"> if on tribal lands. Additional consulting parties </w:t>
      </w:r>
      <w:r w:rsidRPr="00BB374C">
        <w:rPr>
          <w:rFonts w:ascii="Times New Roman" w:hAnsi="Times New Roman" w:cs="Times New Roman"/>
          <w:b/>
          <w:bCs/>
          <w:color w:val="000000"/>
          <w:sz w:val="24"/>
          <w:szCs w:val="24"/>
        </w:rPr>
        <w:t>may</w:t>
      </w:r>
      <w:r w:rsidRPr="00BB374C">
        <w:rPr>
          <w:rFonts w:ascii="Times New Roman" w:hAnsi="Times New Roman" w:cs="Times New Roman"/>
          <w:color w:val="000000"/>
          <w:sz w:val="24"/>
          <w:szCs w:val="24"/>
        </w:rPr>
        <w:t xml:space="preserve"> include certain individuals, organizat</w:t>
      </w:r>
      <w:r w:rsidRPr="00BB374C">
        <w:rPr>
          <w:rFonts w:ascii="Times New Roman" w:hAnsi="Times New Roman" w:cs="Times New Roman"/>
          <w:color w:val="000000"/>
          <w:sz w:val="24"/>
          <w:szCs w:val="24"/>
        </w:rPr>
        <w:t>ions and indigenous populations</w:t>
      </w:r>
      <w:r w:rsidR="00BB374C">
        <w:rPr>
          <w:rFonts w:ascii="Times New Roman" w:hAnsi="Times New Roman" w:cs="Times New Roman"/>
          <w:color w:val="000000"/>
          <w:sz w:val="24"/>
          <w:szCs w:val="24"/>
        </w:rPr>
        <w:t xml:space="preserve"> </w:t>
      </w:r>
      <w:r w:rsidRPr="00BB374C">
        <w:rPr>
          <w:rFonts w:ascii="Times New Roman" w:hAnsi="Times New Roman" w:cs="Times New Roman"/>
          <w:color w:val="000000"/>
          <w:sz w:val="24"/>
          <w:szCs w:val="24"/>
        </w:rPr>
        <w:t>with a demonstrated interest in the undertaking's effect on historic properties and the public.</w:t>
      </w:r>
    </w:p>
    <w:p w14:paraId="577E0FE5" w14:textId="77777777" w:rsidR="00E8677F" w:rsidRPr="00BB374C" w:rsidRDefault="00E8677F" w:rsidP="00C92AF8">
      <w:pPr>
        <w:spacing w:after="0"/>
        <w:contextualSpacing/>
        <w:rPr>
          <w:rFonts w:ascii="Times New Roman" w:hAnsi="Times New Roman" w:cs="Times New Roman"/>
          <w:b/>
          <w:sz w:val="24"/>
          <w:szCs w:val="24"/>
          <w:u w:val="single"/>
        </w:rPr>
      </w:pPr>
    </w:p>
    <w:p w14:paraId="33F76F28" w14:textId="2EA7801A" w:rsidR="00C92AF8" w:rsidRPr="00BB374C" w:rsidRDefault="00C92AF8" w:rsidP="00C92AF8">
      <w:pPr>
        <w:spacing w:after="0"/>
        <w:contextualSpacing/>
        <w:rPr>
          <w:rFonts w:ascii="Times New Roman" w:hAnsi="Times New Roman" w:cs="Times New Roman"/>
          <w:b/>
          <w:color w:val="000000"/>
          <w:sz w:val="24"/>
          <w:szCs w:val="24"/>
          <w:u w:val="single"/>
        </w:rPr>
      </w:pPr>
      <w:r w:rsidRPr="00BB374C">
        <w:rPr>
          <w:rFonts w:ascii="Times New Roman" w:hAnsi="Times New Roman" w:cs="Times New Roman"/>
          <w:b/>
          <w:color w:val="000000"/>
          <w:sz w:val="24"/>
          <w:szCs w:val="24"/>
          <w:u w:val="single"/>
        </w:rPr>
        <w:t>INFORMATION NECESSARY:</w:t>
      </w:r>
    </w:p>
    <w:p w14:paraId="13A7EE0B" w14:textId="77777777" w:rsidR="00E8677F" w:rsidRPr="00E8677F"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Project scope with map</w:t>
      </w:r>
    </w:p>
    <w:p w14:paraId="2C63D71E" w14:textId="77777777" w:rsidR="00E8677F" w:rsidRPr="00E8677F"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Project Boundary with map</w:t>
      </w:r>
    </w:p>
    <w:p w14:paraId="0D405971" w14:textId="77777777" w:rsidR="00E8677F" w:rsidRPr="00E8677F"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Contact Information</w:t>
      </w:r>
    </w:p>
    <w:p w14:paraId="78B3F8B9" w14:textId="77777777" w:rsidR="00E8677F" w:rsidRPr="00E8677F"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Landownership within the Project boundary</w:t>
      </w:r>
    </w:p>
    <w:p w14:paraId="2B59C5A6" w14:textId="77777777" w:rsidR="00E8677F" w:rsidRPr="00E8677F"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Current and past land use within the Project boundary </w:t>
      </w:r>
    </w:p>
    <w:p w14:paraId="2E002F46" w14:textId="77777777" w:rsidR="00E8677F" w:rsidRPr="00E8677F"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Listing of all known cultural resources within the project boundary</w:t>
      </w:r>
    </w:p>
    <w:p w14:paraId="58224C39" w14:textId="6E5D790F" w:rsidR="00E8677F" w:rsidRPr="00BB374C" w:rsidRDefault="00E8677F" w:rsidP="00C92AF8">
      <w:pPr>
        <w:numPr>
          <w:ilvl w:val="0"/>
          <w:numId w:val="21"/>
        </w:numPr>
        <w:spacing w:after="0" w:line="240" w:lineRule="auto"/>
        <w:ind w:left="450" w:firstLine="0"/>
        <w:textAlignment w:val="baseline"/>
        <w:rPr>
          <w:rFonts w:ascii="Times New Roman" w:eastAsia="Times New Roman" w:hAnsi="Times New Roman" w:cs="Times New Roman"/>
          <w:color w:val="000000"/>
          <w:sz w:val="24"/>
          <w:szCs w:val="24"/>
        </w:rPr>
      </w:pPr>
      <w:r w:rsidRPr="00E8677F">
        <w:rPr>
          <w:rFonts w:ascii="Times New Roman" w:eastAsia="Times New Roman" w:hAnsi="Times New Roman" w:cs="Times New Roman"/>
          <w:color w:val="000000"/>
          <w:sz w:val="24"/>
          <w:szCs w:val="24"/>
        </w:rPr>
        <w:t>Description of steps taken to identify cultural resources</w:t>
      </w:r>
    </w:p>
    <w:p w14:paraId="12FA3567" w14:textId="23DF7B20" w:rsidR="00E8677F" w:rsidRPr="00BB374C" w:rsidRDefault="00E8677F" w:rsidP="00C92AF8">
      <w:pPr>
        <w:spacing w:after="0" w:line="240" w:lineRule="auto"/>
        <w:textAlignment w:val="baseline"/>
        <w:rPr>
          <w:rFonts w:ascii="Times New Roman" w:eastAsia="Times New Roman" w:hAnsi="Times New Roman" w:cs="Times New Roman"/>
          <w:color w:val="000000"/>
          <w:sz w:val="24"/>
          <w:szCs w:val="24"/>
        </w:rPr>
      </w:pPr>
    </w:p>
    <w:p w14:paraId="771946C7" w14:textId="77777777" w:rsidR="00E8677F" w:rsidRPr="00BB374C" w:rsidRDefault="00E8677F" w:rsidP="00C92AF8">
      <w:pPr>
        <w:spacing w:after="0"/>
        <w:contextualSpacing/>
        <w:rPr>
          <w:rFonts w:ascii="Times New Roman" w:hAnsi="Times New Roman" w:cs="Times New Roman"/>
          <w:color w:val="000000"/>
          <w:sz w:val="24"/>
          <w:szCs w:val="24"/>
        </w:rPr>
      </w:pPr>
      <w:r w:rsidRPr="00BB374C">
        <w:rPr>
          <w:rFonts w:ascii="Times New Roman" w:hAnsi="Times New Roman" w:cs="Times New Roman"/>
          <w:color w:val="000000"/>
          <w:sz w:val="24"/>
          <w:szCs w:val="24"/>
        </w:rPr>
        <w:t>Tribal Consultation – required under 36 CFR 800.2</w:t>
      </w:r>
    </w:p>
    <w:p w14:paraId="2186D642" w14:textId="77777777" w:rsidR="004021DD" w:rsidRPr="00BB374C" w:rsidRDefault="004021DD" w:rsidP="00C92AF8">
      <w:pPr>
        <w:spacing w:after="0"/>
        <w:contextualSpacing/>
        <w:rPr>
          <w:rFonts w:ascii="Times New Roman" w:hAnsi="Times New Roman" w:cs="Times New Roman"/>
          <w:color w:val="000000"/>
          <w:sz w:val="24"/>
          <w:szCs w:val="24"/>
        </w:rPr>
      </w:pPr>
    </w:p>
    <w:p w14:paraId="079E944D" w14:textId="0628114F" w:rsidR="00C92AF8" w:rsidRPr="00BB374C" w:rsidRDefault="00C92AF8" w:rsidP="00C92AF8">
      <w:pPr>
        <w:spacing w:after="0"/>
        <w:contextualSpacing/>
        <w:rPr>
          <w:rFonts w:ascii="Times New Roman" w:hAnsi="Times New Roman" w:cs="Times New Roman"/>
          <w:b/>
          <w:color w:val="000000"/>
          <w:sz w:val="24"/>
          <w:szCs w:val="24"/>
          <w:u w:val="single"/>
        </w:rPr>
      </w:pPr>
      <w:r w:rsidRPr="00BB374C">
        <w:rPr>
          <w:rFonts w:ascii="Times New Roman" w:hAnsi="Times New Roman" w:cs="Times New Roman"/>
          <w:b/>
          <w:color w:val="000000"/>
          <w:sz w:val="24"/>
          <w:szCs w:val="24"/>
          <w:u w:val="single"/>
        </w:rPr>
        <w:t>ENFORCEMENT AND PENALTIES:</w:t>
      </w:r>
    </w:p>
    <w:p w14:paraId="7621C6D7" w14:textId="6A33A530" w:rsidR="00DE6FFF" w:rsidRPr="00BB374C" w:rsidRDefault="00DE6FFF" w:rsidP="00C92AF8">
      <w:pPr>
        <w:autoSpaceDE w:val="0"/>
        <w:autoSpaceDN w:val="0"/>
        <w:adjustRightInd w:val="0"/>
        <w:spacing w:after="0" w:line="240" w:lineRule="auto"/>
        <w:rPr>
          <w:rFonts w:ascii="Times New Roman" w:hAnsi="Times New Roman" w:cs="Times New Roman"/>
          <w:b/>
          <w:color w:val="000000"/>
          <w:sz w:val="24"/>
          <w:szCs w:val="24"/>
          <w:u w:val="single"/>
        </w:rPr>
      </w:pPr>
      <w:r w:rsidRPr="00BB374C">
        <w:rPr>
          <w:rFonts w:ascii="Times New Roman" w:hAnsi="Times New Roman" w:cs="Times New Roman"/>
          <w:sz w:val="24"/>
          <w:szCs w:val="24"/>
        </w:rPr>
        <w:t>The HPO has several modes of recourse for addressing offenses where work has</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commenced on a protected structure without a permit or construction is completed</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outside the conditions of a permit (or in defiance of a denied permit). The HPA subjects</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offenders to criminal and civil penalties as well as civil fines for violations of the Act and</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its regulations.30 Criminal penalties include, “upon conviction, [fines of] not more than</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$1,000 for each day a violation occurs or continues or . . . [imprisonment] for not more</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than 90 days, or both.”</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 xml:space="preserve"> Criminal penalties, as such, must be brought in D.C. Superior</w:t>
      </w:r>
      <w:r w:rsidRPr="00BB374C">
        <w:rPr>
          <w:rFonts w:ascii="Times New Roman" w:hAnsi="Times New Roman" w:cs="Times New Roman"/>
          <w:sz w:val="24"/>
          <w:szCs w:val="24"/>
        </w:rPr>
        <w:t xml:space="preserve"> </w:t>
      </w:r>
      <w:r w:rsidRPr="00BB374C">
        <w:rPr>
          <w:rFonts w:ascii="Times New Roman" w:hAnsi="Times New Roman" w:cs="Times New Roman"/>
          <w:sz w:val="24"/>
          <w:szCs w:val="24"/>
        </w:rPr>
        <w:t>Court by the Office of the Attorney General for the District of Columbia.</w:t>
      </w:r>
    </w:p>
    <w:p w14:paraId="4A5A7429" w14:textId="77777777" w:rsidR="00DE6FFF" w:rsidRPr="00BB374C" w:rsidRDefault="00DE6FFF" w:rsidP="00C92AF8">
      <w:pPr>
        <w:spacing w:after="0"/>
        <w:contextualSpacing/>
        <w:rPr>
          <w:rFonts w:ascii="Times New Roman" w:hAnsi="Times New Roman" w:cs="Times New Roman"/>
          <w:b/>
          <w:color w:val="000000"/>
          <w:sz w:val="24"/>
          <w:szCs w:val="24"/>
          <w:u w:val="single"/>
        </w:rPr>
      </w:pPr>
    </w:p>
    <w:p w14:paraId="3995913C" w14:textId="1300A7BC" w:rsidR="00076A3C" w:rsidRPr="00BB374C" w:rsidRDefault="00076A3C" w:rsidP="00C92AF8">
      <w:pPr>
        <w:spacing w:after="0" w:line="240" w:lineRule="auto"/>
        <w:contextualSpacing/>
        <w:jc w:val="both"/>
        <w:rPr>
          <w:rFonts w:ascii="Times New Roman" w:hAnsi="Times New Roman" w:cs="Times New Roman"/>
          <w:b/>
          <w:sz w:val="24"/>
          <w:szCs w:val="24"/>
          <w:u w:val="single"/>
        </w:rPr>
      </w:pPr>
      <w:bookmarkStart w:id="2" w:name="h.y33bxdpuvswp" w:colFirst="0" w:colLast="0"/>
      <w:bookmarkStart w:id="3" w:name="h.rabv6ryip3q0" w:colFirst="0" w:colLast="0"/>
      <w:bookmarkEnd w:id="2"/>
      <w:bookmarkEnd w:id="3"/>
      <w:r w:rsidRPr="00BB374C">
        <w:rPr>
          <w:rFonts w:ascii="Times New Roman" w:hAnsi="Times New Roman" w:cs="Times New Roman"/>
          <w:b/>
          <w:sz w:val="24"/>
          <w:szCs w:val="24"/>
          <w:u w:val="single"/>
        </w:rPr>
        <w:t>REGULATIONS (CFR)</w:t>
      </w:r>
    </w:p>
    <w:p w14:paraId="1B2F82D5" w14:textId="2C057CCE" w:rsidR="004021DD" w:rsidRPr="00BB374C" w:rsidRDefault="004021DD" w:rsidP="00C92AF8">
      <w:pPr>
        <w:spacing w:after="0" w:line="240" w:lineRule="auto"/>
        <w:contextualSpacing/>
        <w:jc w:val="both"/>
        <w:rPr>
          <w:rFonts w:ascii="Times New Roman" w:hAnsi="Times New Roman" w:cs="Times New Roman"/>
          <w:sz w:val="24"/>
          <w:szCs w:val="24"/>
        </w:rPr>
      </w:pPr>
      <w:r w:rsidRPr="00BB374C">
        <w:rPr>
          <w:rFonts w:ascii="Times New Roman" w:hAnsi="Times New Roman" w:cs="Times New Roman"/>
          <w:sz w:val="24"/>
          <w:szCs w:val="24"/>
        </w:rPr>
        <w:t xml:space="preserve">54 U.S.C. </w:t>
      </w:r>
      <w:r w:rsidRPr="00BB374C">
        <w:rPr>
          <w:rFonts w:ascii="Times New Roman" w:hAnsi="Times New Roman" w:cs="Times New Roman"/>
          <w:sz w:val="24"/>
          <w:szCs w:val="24"/>
        </w:rPr>
        <w:t>Antiquities Act of 1906: Authorizes president to proclaim national monuments on federal lands.</w:t>
      </w:r>
    </w:p>
    <w:p w14:paraId="6991ACB2" w14:textId="71627734" w:rsidR="004021DD" w:rsidRPr="00BB374C" w:rsidRDefault="004021DD" w:rsidP="00C92AF8">
      <w:pPr>
        <w:spacing w:after="0" w:line="240" w:lineRule="auto"/>
        <w:contextualSpacing/>
        <w:jc w:val="both"/>
        <w:rPr>
          <w:rFonts w:ascii="Times New Roman" w:hAnsi="Times New Roman" w:cs="Times New Roman"/>
          <w:sz w:val="24"/>
          <w:szCs w:val="24"/>
        </w:rPr>
      </w:pPr>
      <w:r w:rsidRPr="00BB374C">
        <w:rPr>
          <w:rFonts w:ascii="Times New Roman" w:hAnsi="Times New Roman" w:cs="Times New Roman"/>
          <w:sz w:val="24"/>
          <w:szCs w:val="24"/>
        </w:rPr>
        <w:t xml:space="preserve">54 CFR 300100 section 306108 NHPA: mandates federal agency decision maker s consider historic properties during project planning.  </w:t>
      </w:r>
    </w:p>
    <w:p w14:paraId="6983ED84" w14:textId="77C94F76" w:rsidR="004021DD" w:rsidRPr="00BB374C" w:rsidRDefault="004021DD" w:rsidP="00C92AF8">
      <w:pPr>
        <w:spacing w:after="0" w:line="240" w:lineRule="auto"/>
        <w:contextualSpacing/>
        <w:jc w:val="both"/>
        <w:rPr>
          <w:rFonts w:ascii="Times New Roman" w:hAnsi="Times New Roman" w:cs="Times New Roman"/>
          <w:sz w:val="24"/>
          <w:szCs w:val="24"/>
        </w:rPr>
      </w:pPr>
      <w:r w:rsidRPr="00BB374C">
        <w:rPr>
          <w:rFonts w:ascii="Times New Roman" w:hAnsi="Times New Roman" w:cs="Times New Roman"/>
          <w:sz w:val="24"/>
          <w:szCs w:val="24"/>
        </w:rPr>
        <w:t>1966</w:t>
      </w:r>
    </w:p>
    <w:p w14:paraId="423FF387" w14:textId="77777777" w:rsidR="004021DD" w:rsidRPr="00BB374C" w:rsidRDefault="004021DD" w:rsidP="00C92AF8">
      <w:pPr>
        <w:spacing w:after="0" w:line="240" w:lineRule="auto"/>
        <w:contextualSpacing/>
        <w:jc w:val="both"/>
        <w:rPr>
          <w:rFonts w:ascii="Times New Roman" w:hAnsi="Times New Roman" w:cs="Times New Roman"/>
          <w:sz w:val="24"/>
          <w:szCs w:val="24"/>
        </w:rPr>
      </w:pPr>
    </w:p>
    <w:p w14:paraId="15359E05" w14:textId="7025A133" w:rsidR="00076A3C" w:rsidRPr="00BB374C" w:rsidRDefault="00FC4023" w:rsidP="00C92AF8">
      <w:pPr>
        <w:spacing w:after="0" w:line="240" w:lineRule="auto"/>
        <w:contextualSpacing/>
        <w:jc w:val="both"/>
        <w:rPr>
          <w:rFonts w:ascii="Times New Roman" w:hAnsi="Times New Roman" w:cs="Times New Roman"/>
          <w:sz w:val="24"/>
          <w:szCs w:val="24"/>
        </w:rPr>
      </w:pPr>
      <w:r w:rsidRPr="00BB374C">
        <w:rPr>
          <w:rFonts w:ascii="Times New Roman" w:hAnsi="Times New Roman" w:cs="Times New Roman"/>
          <w:b/>
          <w:sz w:val="24"/>
          <w:szCs w:val="24"/>
        </w:rPr>
        <w:tab/>
      </w:r>
    </w:p>
    <w:p w14:paraId="44FBEDF9" w14:textId="6817A50D" w:rsidR="00076A3C" w:rsidRPr="00BB374C" w:rsidRDefault="00FC4023" w:rsidP="00C92AF8">
      <w:pPr>
        <w:spacing w:after="0" w:line="240" w:lineRule="auto"/>
        <w:contextualSpacing/>
        <w:jc w:val="both"/>
        <w:rPr>
          <w:rFonts w:ascii="Times New Roman" w:hAnsi="Times New Roman" w:cs="Times New Roman"/>
          <w:b/>
          <w:sz w:val="24"/>
          <w:szCs w:val="24"/>
          <w:u w:val="single"/>
        </w:rPr>
      </w:pPr>
      <w:bookmarkStart w:id="4" w:name="h.mhzpe8wssxmh" w:colFirst="0" w:colLast="0"/>
      <w:bookmarkStart w:id="5" w:name="h.nnhnj2v6nfho" w:colFirst="0" w:colLast="0"/>
      <w:bookmarkStart w:id="6" w:name="h.yhwvryw2ht3s" w:colFirst="0" w:colLast="0"/>
      <w:bookmarkEnd w:id="4"/>
      <w:bookmarkEnd w:id="5"/>
      <w:bookmarkEnd w:id="6"/>
      <w:r w:rsidRPr="00BB374C">
        <w:rPr>
          <w:rFonts w:ascii="Times New Roman" w:hAnsi="Times New Roman" w:cs="Times New Roman"/>
          <w:b/>
          <w:sz w:val="24"/>
          <w:szCs w:val="24"/>
          <w:u w:val="single"/>
        </w:rPr>
        <w:t>Resources</w:t>
      </w:r>
    </w:p>
    <w:bookmarkStart w:id="7" w:name="h.z2m9u5dq7350" w:colFirst="0" w:colLast="0"/>
    <w:bookmarkStart w:id="8" w:name="h.3cvge8lweb0r" w:colFirst="0" w:colLast="0"/>
    <w:bookmarkStart w:id="9" w:name="h.9kkbpdp5a2hw" w:colFirst="0" w:colLast="0"/>
    <w:bookmarkEnd w:id="7"/>
    <w:bookmarkEnd w:id="8"/>
    <w:bookmarkEnd w:id="9"/>
    <w:p w14:paraId="0FE5403A" w14:textId="1079B7FB" w:rsidR="004559E4" w:rsidRPr="00BB374C" w:rsidRDefault="004559E4" w:rsidP="00C92AF8">
      <w:pPr>
        <w:rPr>
          <w:rFonts w:ascii="Times New Roman" w:eastAsia="Times New Roman" w:hAnsi="Times New Roman" w:cs="Times New Roman"/>
          <w:sz w:val="24"/>
          <w:szCs w:val="24"/>
        </w:rPr>
      </w:pPr>
      <w:r w:rsidRPr="00BB374C">
        <w:rPr>
          <w:rFonts w:ascii="Times New Roman" w:eastAsia="Times New Roman" w:hAnsi="Times New Roman" w:cs="Times New Roman"/>
          <w:sz w:val="24"/>
          <w:szCs w:val="24"/>
        </w:rPr>
        <w:fldChar w:fldCharType="begin"/>
      </w:r>
      <w:r w:rsidRPr="00BB374C">
        <w:rPr>
          <w:rFonts w:ascii="Times New Roman" w:eastAsia="Times New Roman" w:hAnsi="Times New Roman" w:cs="Times New Roman"/>
          <w:sz w:val="24"/>
          <w:szCs w:val="24"/>
        </w:rPr>
        <w:instrText xml:space="preserve"> HYPERLINK "https://www.achp.gov/sites/default/files/documents/2017-01/CitizenGuide.pdf" </w:instrText>
      </w:r>
      <w:r w:rsidRPr="00BB374C">
        <w:rPr>
          <w:rFonts w:ascii="Times New Roman" w:eastAsia="Times New Roman" w:hAnsi="Times New Roman" w:cs="Times New Roman"/>
          <w:sz w:val="24"/>
          <w:szCs w:val="24"/>
        </w:rPr>
        <w:fldChar w:fldCharType="separate"/>
      </w:r>
      <w:r w:rsidRPr="00BB374C">
        <w:rPr>
          <w:rStyle w:val="Hyperlink"/>
          <w:rFonts w:ascii="Times New Roman" w:eastAsia="Times New Roman" w:hAnsi="Times New Roman" w:cs="Times New Roman"/>
          <w:sz w:val="24"/>
          <w:szCs w:val="24"/>
        </w:rPr>
        <w:t>https://www.achp.gov/sites/default/files/documents/2017-01/CitizenGuide.pdf</w:t>
      </w:r>
      <w:r w:rsidRPr="00BB374C">
        <w:rPr>
          <w:rFonts w:ascii="Times New Roman" w:eastAsia="Times New Roman" w:hAnsi="Times New Roman" w:cs="Times New Roman"/>
          <w:sz w:val="24"/>
          <w:szCs w:val="24"/>
        </w:rPr>
        <w:fldChar w:fldCharType="end"/>
      </w:r>
    </w:p>
    <w:p w14:paraId="6BB51EA0" w14:textId="34A7E66E" w:rsidR="00DE6FFF" w:rsidRPr="00BB374C" w:rsidRDefault="00DE6FFF" w:rsidP="00C92AF8">
      <w:pPr>
        <w:rPr>
          <w:rFonts w:ascii="Times New Roman" w:eastAsia="Times New Roman" w:hAnsi="Times New Roman" w:cs="Times New Roman"/>
          <w:sz w:val="24"/>
          <w:szCs w:val="24"/>
        </w:rPr>
      </w:pPr>
      <w:hyperlink r:id="rId5" w:history="1">
        <w:r w:rsidRPr="00BB374C">
          <w:rPr>
            <w:rStyle w:val="Hyperlink"/>
            <w:rFonts w:ascii="Times New Roman" w:eastAsia="Times New Roman" w:hAnsi="Times New Roman" w:cs="Times New Roman"/>
            <w:sz w:val="24"/>
            <w:szCs w:val="24"/>
          </w:rPr>
          <w:t>https://scholarship.law.georgetown.edu/cgi/viewcontent.cgi?article=1025&amp;context=hpps_papers</w:t>
        </w:r>
      </w:hyperlink>
      <w:r w:rsidRPr="00BB374C">
        <w:rPr>
          <w:rFonts w:ascii="Times New Roman" w:eastAsia="Times New Roman" w:hAnsi="Times New Roman" w:cs="Times New Roman"/>
          <w:sz w:val="24"/>
          <w:szCs w:val="24"/>
        </w:rPr>
        <w:t xml:space="preserve"> </w:t>
      </w:r>
    </w:p>
    <w:p w14:paraId="283FD45E" w14:textId="547837B0" w:rsidR="00C92AF8" w:rsidRPr="00BB374C" w:rsidRDefault="00C92AF8" w:rsidP="00C92AF8">
      <w:pPr>
        <w:rPr>
          <w:rFonts w:ascii="Times New Roman" w:eastAsia="Times New Roman" w:hAnsi="Times New Roman" w:cs="Times New Roman"/>
          <w:sz w:val="24"/>
          <w:szCs w:val="24"/>
        </w:rPr>
      </w:pPr>
      <w:hyperlink r:id="rId6" w:history="1">
        <w:r w:rsidRPr="00BB374C">
          <w:rPr>
            <w:rStyle w:val="Hyperlink"/>
            <w:rFonts w:ascii="Times New Roman" w:eastAsia="Times New Roman" w:hAnsi="Times New Roman" w:cs="Times New Roman"/>
            <w:sz w:val="24"/>
            <w:szCs w:val="24"/>
          </w:rPr>
          <w:t>https://ncshpo.org/directory/alaska/</w:t>
        </w:r>
      </w:hyperlink>
      <w:r w:rsidRPr="00BB374C">
        <w:rPr>
          <w:rFonts w:ascii="Times New Roman" w:eastAsia="Times New Roman" w:hAnsi="Times New Roman" w:cs="Times New Roman"/>
          <w:sz w:val="24"/>
          <w:szCs w:val="24"/>
        </w:rPr>
        <w:t xml:space="preserve"> </w:t>
      </w:r>
    </w:p>
    <w:p w14:paraId="22FD41F7" w14:textId="025C189C" w:rsidR="00C92AF8" w:rsidRPr="00BB374C" w:rsidRDefault="00C92AF8" w:rsidP="00C92AF8">
      <w:pPr>
        <w:rPr>
          <w:rFonts w:ascii="Times New Roman" w:eastAsia="Times New Roman" w:hAnsi="Times New Roman" w:cs="Times New Roman"/>
          <w:sz w:val="24"/>
          <w:szCs w:val="24"/>
        </w:rPr>
      </w:pPr>
      <w:r w:rsidRPr="00BB374C">
        <w:rPr>
          <w:rFonts w:ascii="Times New Roman" w:hAnsi="Times New Roman" w:cs="Times New Roman"/>
          <w:noProof/>
          <w:sz w:val="24"/>
          <w:szCs w:val="24"/>
        </w:rPr>
        <w:drawing>
          <wp:inline distT="0" distB="0" distL="0" distR="0" wp14:anchorId="2228D6F0" wp14:editId="0E70654B">
            <wp:extent cx="5943600" cy="6284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284595"/>
                    </a:xfrm>
                    <a:prstGeom prst="rect">
                      <a:avLst/>
                    </a:prstGeom>
                  </pic:spPr>
                </pic:pic>
              </a:graphicData>
            </a:graphic>
          </wp:inline>
        </w:drawing>
      </w:r>
    </w:p>
    <w:p w14:paraId="68DDB195" w14:textId="6AEA2C07" w:rsidR="00076A3C" w:rsidRPr="00BB374C" w:rsidRDefault="00076A3C" w:rsidP="00C92AF8">
      <w:pPr>
        <w:spacing w:after="0" w:line="240" w:lineRule="auto"/>
        <w:contextualSpacing/>
        <w:jc w:val="both"/>
        <w:rPr>
          <w:rFonts w:ascii="Times New Roman" w:hAnsi="Times New Roman" w:cs="Times New Roman"/>
          <w:color w:val="000000"/>
          <w:sz w:val="24"/>
          <w:szCs w:val="24"/>
          <w:u w:val="single"/>
        </w:rPr>
      </w:pPr>
    </w:p>
    <w:sectPr w:rsidR="00076A3C" w:rsidRPr="00BB3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C8618E"/>
    <w:multiLevelType w:val="multilevel"/>
    <w:tmpl w:val="B30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EE46636"/>
    <w:multiLevelType w:val="hybridMultilevel"/>
    <w:tmpl w:val="D7B0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9"/>
  </w:num>
  <w:num w:numId="2">
    <w:abstractNumId w:val="9"/>
  </w:num>
  <w:num w:numId="3">
    <w:abstractNumId w:val="4"/>
  </w:num>
  <w:num w:numId="4">
    <w:abstractNumId w:val="6"/>
  </w:num>
  <w:num w:numId="5">
    <w:abstractNumId w:val="5"/>
  </w:num>
  <w:num w:numId="6">
    <w:abstractNumId w:val="7"/>
  </w:num>
  <w:num w:numId="7">
    <w:abstractNumId w:val="16"/>
  </w:num>
  <w:num w:numId="8">
    <w:abstractNumId w:val="0"/>
  </w:num>
  <w:num w:numId="9">
    <w:abstractNumId w:val="21"/>
  </w:num>
  <w:num w:numId="10">
    <w:abstractNumId w:val="14"/>
  </w:num>
  <w:num w:numId="11">
    <w:abstractNumId w:val="20"/>
  </w:num>
  <w:num w:numId="12">
    <w:abstractNumId w:val="10"/>
  </w:num>
  <w:num w:numId="13">
    <w:abstractNumId w:val="18"/>
  </w:num>
  <w:num w:numId="14">
    <w:abstractNumId w:val="15"/>
  </w:num>
  <w:num w:numId="15">
    <w:abstractNumId w:val="17"/>
  </w:num>
  <w:num w:numId="16">
    <w:abstractNumId w:val="3"/>
  </w:num>
  <w:num w:numId="17">
    <w:abstractNumId w:val="12"/>
  </w:num>
  <w:num w:numId="18">
    <w:abstractNumId w:val="8"/>
  </w:num>
  <w:num w:numId="19">
    <w:abstractNumId w:val="2"/>
  </w:num>
  <w:num w:numId="20">
    <w:abstractNumId w:val="13"/>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DB"/>
    <w:rsid w:val="000158D7"/>
    <w:rsid w:val="00076A3C"/>
    <w:rsid w:val="00081A1F"/>
    <w:rsid w:val="00174EF8"/>
    <w:rsid w:val="00191309"/>
    <w:rsid w:val="001B178A"/>
    <w:rsid w:val="001E6491"/>
    <w:rsid w:val="001E7F91"/>
    <w:rsid w:val="001F207F"/>
    <w:rsid w:val="002A321D"/>
    <w:rsid w:val="002A3FC2"/>
    <w:rsid w:val="00317ACA"/>
    <w:rsid w:val="003316BA"/>
    <w:rsid w:val="003A3197"/>
    <w:rsid w:val="004021DD"/>
    <w:rsid w:val="004559E4"/>
    <w:rsid w:val="00480AB7"/>
    <w:rsid w:val="004D1365"/>
    <w:rsid w:val="00555780"/>
    <w:rsid w:val="005B665B"/>
    <w:rsid w:val="005C3146"/>
    <w:rsid w:val="00670982"/>
    <w:rsid w:val="006E7F68"/>
    <w:rsid w:val="00715F46"/>
    <w:rsid w:val="0073445B"/>
    <w:rsid w:val="007B2026"/>
    <w:rsid w:val="007E00FA"/>
    <w:rsid w:val="00814212"/>
    <w:rsid w:val="00833017"/>
    <w:rsid w:val="0083630F"/>
    <w:rsid w:val="0084376F"/>
    <w:rsid w:val="00892F92"/>
    <w:rsid w:val="008B2102"/>
    <w:rsid w:val="009A5555"/>
    <w:rsid w:val="00A57CB5"/>
    <w:rsid w:val="00A63516"/>
    <w:rsid w:val="00A66FFB"/>
    <w:rsid w:val="00B06B10"/>
    <w:rsid w:val="00B306C7"/>
    <w:rsid w:val="00B51DAF"/>
    <w:rsid w:val="00BB374C"/>
    <w:rsid w:val="00BC3EDB"/>
    <w:rsid w:val="00C21E4A"/>
    <w:rsid w:val="00C92AF8"/>
    <w:rsid w:val="00CA1E10"/>
    <w:rsid w:val="00DE6FFF"/>
    <w:rsid w:val="00E8677F"/>
    <w:rsid w:val="00EE75EA"/>
    <w:rsid w:val="00EF40FA"/>
    <w:rsid w:val="00F379AA"/>
    <w:rsid w:val="00F45868"/>
    <w:rsid w:val="00FC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613C5"/>
  <w15:docId w15:val="{2A97251A-D09F-4E5B-BBEE-C7CBF659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semiHidden/>
    <w:unhideWhenUsed/>
    <w:rsid w:val="00670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01266">
      <w:bodyDiv w:val="1"/>
      <w:marLeft w:val="0"/>
      <w:marRight w:val="0"/>
      <w:marTop w:val="0"/>
      <w:marBottom w:val="0"/>
      <w:divBdr>
        <w:top w:val="none" w:sz="0" w:space="0" w:color="auto"/>
        <w:left w:val="none" w:sz="0" w:space="0" w:color="auto"/>
        <w:bottom w:val="none" w:sz="0" w:space="0" w:color="auto"/>
        <w:right w:val="none" w:sz="0" w:space="0" w:color="auto"/>
      </w:divBdr>
    </w:div>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91266475">
              <w:marLeft w:val="0"/>
              <w:marRight w:val="0"/>
              <w:marTop w:val="0"/>
              <w:marBottom w:val="0"/>
              <w:divBdr>
                <w:top w:val="none" w:sz="0" w:space="0" w:color="auto"/>
                <w:left w:val="none" w:sz="0" w:space="0" w:color="auto"/>
                <w:bottom w:val="none" w:sz="0" w:space="0" w:color="auto"/>
                <w:right w:val="none" w:sz="0" w:space="0" w:color="auto"/>
              </w:divBdr>
            </w:div>
            <w:div w:id="181941656">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1939">
      <w:bodyDiv w:val="1"/>
      <w:marLeft w:val="0"/>
      <w:marRight w:val="0"/>
      <w:marTop w:val="0"/>
      <w:marBottom w:val="0"/>
      <w:divBdr>
        <w:top w:val="none" w:sz="0" w:space="0" w:color="auto"/>
        <w:left w:val="none" w:sz="0" w:space="0" w:color="auto"/>
        <w:bottom w:val="none" w:sz="0" w:space="0" w:color="auto"/>
        <w:right w:val="none" w:sz="0" w:space="0" w:color="auto"/>
      </w:divBdr>
    </w:div>
    <w:div w:id="1019232934">
      <w:bodyDiv w:val="1"/>
      <w:marLeft w:val="0"/>
      <w:marRight w:val="0"/>
      <w:marTop w:val="0"/>
      <w:marBottom w:val="0"/>
      <w:divBdr>
        <w:top w:val="none" w:sz="0" w:space="0" w:color="auto"/>
        <w:left w:val="none" w:sz="0" w:space="0" w:color="auto"/>
        <w:bottom w:val="none" w:sz="0" w:space="0" w:color="auto"/>
        <w:right w:val="none" w:sz="0" w:space="0" w:color="auto"/>
      </w:divBdr>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shpo.org/directory/alaska/" TargetMode="External"/><Relationship Id="rId5" Type="http://schemas.openxmlformats.org/officeDocument/2006/relationships/hyperlink" Target="https://scholarship.law.georgetown.edu/cgi/viewcontent.cgi?article=1025&amp;context=hpps_pap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Tidler, Sophia D</cp:lastModifiedBy>
  <cp:revision>8</cp:revision>
  <cp:lastPrinted>2016-02-15T21:18:00Z</cp:lastPrinted>
  <dcterms:created xsi:type="dcterms:W3CDTF">2020-01-30T04:43:00Z</dcterms:created>
  <dcterms:modified xsi:type="dcterms:W3CDTF">2020-04-07T07:01:00Z</dcterms:modified>
</cp:coreProperties>
</file>